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E89" w:rsidRPr="00CC4E89" w:rsidRDefault="00CC4E89" w:rsidP="00CC4E89">
      <w:pPr>
        <w:shd w:val="clear" w:color="auto" w:fill="FFFFFF"/>
        <w:spacing w:before="480" w:after="240" w:line="240" w:lineRule="auto"/>
        <w:outlineLvl w:val="2"/>
        <w:rPr>
          <w:rFonts w:ascii="Arial" w:eastAsia="Times New Roman" w:hAnsi="Arial" w:cs="Arial"/>
          <w:b/>
          <w:bCs/>
          <w:color w:val="CC0000"/>
          <w:sz w:val="27"/>
          <w:szCs w:val="27"/>
          <w:lang w:eastAsia="es-ES"/>
        </w:rPr>
      </w:pPr>
      <w:r w:rsidRPr="00CC4E89">
        <w:rPr>
          <w:rFonts w:ascii="Arial" w:eastAsia="Times New Roman" w:hAnsi="Arial" w:cs="Arial"/>
          <w:b/>
          <w:bCs/>
          <w:color w:val="CC0000"/>
          <w:sz w:val="27"/>
          <w:szCs w:val="27"/>
          <w:lang w:eastAsia="es-ES"/>
        </w:rPr>
        <w:t>¿Cuáles Son las Alternativas Aceptables al Agave?</w:t>
      </w:r>
    </w:p>
    <w:p w:rsidR="00CC4E89" w:rsidRPr="00CC4E89" w:rsidRDefault="00CC4E89" w:rsidP="00CC4E89">
      <w:pPr>
        <w:shd w:val="clear" w:color="auto" w:fill="FFFFFF"/>
        <w:spacing w:after="240" w:line="288"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Si se le apetece algo dulce, lo mejor es comer una manzana o una pera. Y si evita lo dulce en un día de fiesta o incluso por un par de semanas, se sorprenderá de la cantidad de antojos que disminuirá. Pero asegúrese de contar los gramos de fructosa y mantenga su total de fructosa de frutas por debajo de los 15 gramos por día, ya que es seguro que consuma mucha fructosa "oculta" en el resto de los alimentos.</w:t>
      </w:r>
    </w:p>
    <w:p w:rsidR="00CC4E89" w:rsidRPr="00CC4E89" w:rsidRDefault="00CC4E89" w:rsidP="00CC4E89">
      <w:pPr>
        <w:shd w:val="clear" w:color="auto" w:fill="FFFFFF"/>
        <w:spacing w:line="288"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Usted puede utilizar la tabla siguiente para ayudar a contar los gramos de fructosa.</w:t>
      </w:r>
    </w:p>
    <w:tbl>
      <w:tblPr>
        <w:tblW w:w="0" w:type="dxa"/>
        <w:jc w:val="center"/>
        <w:tblCellMar>
          <w:left w:w="0" w:type="dxa"/>
          <w:right w:w="0" w:type="dxa"/>
        </w:tblCellMar>
        <w:tblLook w:val="04A0" w:firstRow="1" w:lastRow="0" w:firstColumn="1" w:lastColumn="0" w:noHBand="0" w:noVBand="1"/>
      </w:tblPr>
      <w:tblGrid>
        <w:gridCol w:w="4103"/>
        <w:gridCol w:w="185"/>
        <w:gridCol w:w="4246"/>
      </w:tblGrid>
      <w:tr w:rsidR="00CC4E89" w:rsidRPr="00CC4E89" w:rsidTr="00CC4E89">
        <w:trPr>
          <w:jc w:val="center"/>
        </w:trPr>
        <w:tc>
          <w:tcPr>
            <w:tcW w:w="0" w:type="auto"/>
            <w:tcMar>
              <w:top w:w="15" w:type="dxa"/>
              <w:left w:w="15" w:type="dxa"/>
              <w:bottom w:w="15" w:type="dxa"/>
              <w:right w:w="15" w:type="dxa"/>
            </w:tcMar>
            <w:hideMark/>
          </w:tcPr>
          <w:tbl>
            <w:tblPr>
              <w:tblW w:w="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1566"/>
              <w:gridCol w:w="1263"/>
              <w:gridCol w:w="1198"/>
            </w:tblGrid>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Frutas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Tamaño de la porción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Gramos de fructosa</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Limón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0</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Limas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0.6</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Arándanos agrios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0.7</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Fruta de la Pasión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0.9</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Ciruela Pasa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1.2</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Albaricoque</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1.3</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Guayaba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2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2.2</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Datiles (estilo Deglet Noor)</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2.6</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Melón o Cantalupe</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 xml:space="preserve">1 / 8 de med. </w:t>
                  </w:r>
                  <w:r w:rsidRPr="00CC4E89">
                    <w:rPr>
                      <w:rFonts w:ascii="Arial" w:eastAsia="Times New Roman" w:hAnsi="Arial" w:cs="Arial"/>
                      <w:color w:val="000000"/>
                      <w:sz w:val="24"/>
                      <w:szCs w:val="24"/>
                      <w:lang w:eastAsia="es-ES"/>
                    </w:rPr>
                    <w:lastRenderedPageBreak/>
                    <w:t>melón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lastRenderedPageBreak/>
                    <w:t>2.8</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lastRenderedPageBreak/>
                    <w:t>Frambuesas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3.0</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Clementina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Kiwi</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Zarzamoras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3.5</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Fruta de Estrella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3.6</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Cerezas, dulces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10</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3.8</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Fresas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3.8</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Cerezas, ácidas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4.0</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Piña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rebanada (3.5 "x 0.75")</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4.0</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Toronja, rosa o roja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2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4.3</w:t>
                  </w:r>
                </w:p>
              </w:tc>
            </w:tr>
          </w:tbl>
          <w:p w:rsidR="00CC4E89" w:rsidRPr="00CC4E89" w:rsidRDefault="00CC4E89" w:rsidP="00CC4E89">
            <w:pPr>
              <w:spacing w:after="0" w:line="240" w:lineRule="auto"/>
              <w:rPr>
                <w:rFonts w:ascii="Arial" w:eastAsia="Times New Roman" w:hAnsi="Arial" w:cs="Arial"/>
                <w:color w:val="000000"/>
                <w:sz w:val="24"/>
                <w:szCs w:val="24"/>
                <w:lang w:eastAsia="es-ES"/>
              </w:rPr>
            </w:pPr>
          </w:p>
        </w:tc>
        <w:tc>
          <w:tcPr>
            <w:tcW w:w="0" w:type="auto"/>
            <w:tcMar>
              <w:top w:w="15" w:type="dxa"/>
              <w:left w:w="15" w:type="dxa"/>
              <w:bottom w:w="15" w:type="dxa"/>
              <w:right w:w="15"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lastRenderedPageBreak/>
              <w:t>   </w:t>
            </w:r>
          </w:p>
        </w:tc>
        <w:tc>
          <w:tcPr>
            <w:tcW w:w="0" w:type="auto"/>
            <w:tcMar>
              <w:top w:w="15" w:type="dxa"/>
              <w:left w:w="15" w:type="dxa"/>
              <w:bottom w:w="15" w:type="dxa"/>
              <w:right w:w="15" w:type="dxa"/>
            </w:tcMar>
            <w:hideMark/>
          </w:tcPr>
          <w:tbl>
            <w:tblPr>
              <w:tblW w:w="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1775"/>
              <w:gridCol w:w="1185"/>
              <w:gridCol w:w="1210"/>
            </w:tblGrid>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Frutas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Tamaño de la porción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b/>
                      <w:bCs/>
                      <w:color w:val="000000"/>
                      <w:sz w:val="24"/>
                      <w:szCs w:val="24"/>
                      <w:lang w:eastAsia="es-ES"/>
                    </w:rPr>
                    <w:t>Gramos de fructosa</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Boysenberries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4.6</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Mandarina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4.8</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Nectarina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5.4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Melocotón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5.9</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Naranja (navel)</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6.1</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Papaya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2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6.3</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Melon Verde o Honeydew</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8 de med. melón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6.7</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Banano o Platano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7.1</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Mora Azul</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7.4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lastRenderedPageBreak/>
                    <w:t>Datiles (Medjool)</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7.7</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Manzana (composta)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9.5</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Persimmon o Caqui</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10.6</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Sandía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16 med. melón</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11.3</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Pera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Un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11.8</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Pasas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4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12.3</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Uvas, sin semillas (verdea o rojas)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12.4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Mango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 2 medio</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16.2</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Albaricoques, secos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16.4</w:t>
                  </w:r>
                </w:p>
              </w:tc>
            </w:tr>
            <w:tr w:rsidR="00CC4E89" w:rsidRPr="00CC4E89">
              <w:trPr>
                <w:jc w:val="center"/>
              </w:trPr>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Higos, secos</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1 taza</w:t>
                  </w:r>
                </w:p>
              </w:tc>
              <w:tc>
                <w:tcPr>
                  <w:tcW w:w="16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C4E89" w:rsidRPr="00CC4E89" w:rsidRDefault="00CC4E89" w:rsidP="00CC4E89">
                  <w:pPr>
                    <w:spacing w:after="0" w:line="240"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23.0</w:t>
                  </w:r>
                </w:p>
              </w:tc>
            </w:tr>
          </w:tbl>
          <w:p w:rsidR="00CC4E89" w:rsidRPr="00CC4E89" w:rsidRDefault="00CC4E89" w:rsidP="00CC4E89">
            <w:pPr>
              <w:spacing w:after="0" w:line="240" w:lineRule="auto"/>
              <w:rPr>
                <w:rFonts w:ascii="Arial" w:eastAsia="Times New Roman" w:hAnsi="Arial" w:cs="Arial"/>
                <w:color w:val="000000"/>
                <w:sz w:val="24"/>
                <w:szCs w:val="24"/>
                <w:lang w:eastAsia="es-ES"/>
              </w:rPr>
            </w:pPr>
          </w:p>
        </w:tc>
      </w:tr>
    </w:tbl>
    <w:p w:rsidR="00CC4E89" w:rsidRPr="00CC4E89" w:rsidRDefault="00CC4E89" w:rsidP="00CC4E89">
      <w:pPr>
        <w:shd w:val="clear" w:color="auto" w:fill="FFFFFF"/>
        <w:spacing w:after="240" w:line="288" w:lineRule="auto"/>
        <w:rPr>
          <w:rFonts w:ascii="Arial" w:eastAsia="Times New Roman" w:hAnsi="Arial" w:cs="Arial"/>
          <w:color w:val="000000"/>
          <w:sz w:val="24"/>
          <w:szCs w:val="24"/>
          <w:lang w:val="en-US" w:eastAsia="es-ES"/>
        </w:rPr>
      </w:pPr>
      <w:r w:rsidRPr="00CC4E89">
        <w:rPr>
          <w:rFonts w:ascii="Arial" w:eastAsia="Times New Roman" w:hAnsi="Arial" w:cs="Arial"/>
          <w:color w:val="000000"/>
          <w:sz w:val="24"/>
          <w:szCs w:val="24"/>
          <w:lang w:val="en-US" w:eastAsia="es-ES"/>
        </w:rPr>
        <w:lastRenderedPageBreak/>
        <w:t> </w:t>
      </w:r>
    </w:p>
    <w:p w:rsidR="00CC4E89" w:rsidRPr="00CC4E89" w:rsidRDefault="00CC4E89" w:rsidP="00CC4E89">
      <w:pPr>
        <w:shd w:val="clear" w:color="auto" w:fill="FFFFFF"/>
        <w:spacing w:after="240" w:line="288" w:lineRule="auto"/>
        <w:rPr>
          <w:rFonts w:ascii="Arial" w:eastAsia="Times New Roman" w:hAnsi="Arial" w:cs="Arial"/>
          <w:color w:val="000000"/>
          <w:sz w:val="24"/>
          <w:szCs w:val="24"/>
          <w:lang w:val="en-US" w:eastAsia="es-ES"/>
        </w:rPr>
      </w:pPr>
      <w:r w:rsidRPr="00CC4E89">
        <w:rPr>
          <w:rFonts w:ascii="Arial" w:eastAsia="Times New Roman" w:hAnsi="Arial" w:cs="Arial"/>
          <w:color w:val="000000"/>
          <w:sz w:val="24"/>
          <w:szCs w:val="24"/>
          <w:lang w:val="en-US" w:eastAsia="es-ES"/>
        </w:rPr>
        <w:t>Si considera que debe consumir algo dulce, aquí hay algunas pautas a seguir:</w:t>
      </w:r>
    </w:p>
    <w:p w:rsidR="00CC4E89" w:rsidRPr="00CC4E89" w:rsidRDefault="00CC4E89" w:rsidP="00CC4E89">
      <w:pPr>
        <w:numPr>
          <w:ilvl w:val="0"/>
          <w:numId w:val="1"/>
        </w:numPr>
        <w:shd w:val="clear" w:color="auto" w:fill="FFFFFF"/>
        <w:spacing w:after="240" w:line="240" w:lineRule="auto"/>
        <w:ind w:left="840"/>
        <w:rPr>
          <w:rFonts w:ascii="Arial" w:eastAsia="Times New Roman" w:hAnsi="Arial" w:cs="Arial"/>
          <w:color w:val="000000"/>
          <w:sz w:val="24"/>
          <w:szCs w:val="24"/>
          <w:lang w:val="en-US" w:eastAsia="es-ES"/>
        </w:rPr>
      </w:pPr>
      <w:r w:rsidRPr="00CC4E89">
        <w:rPr>
          <w:rFonts w:ascii="Arial" w:eastAsia="Times New Roman" w:hAnsi="Arial" w:cs="Arial"/>
          <w:color w:val="000000"/>
          <w:sz w:val="24"/>
          <w:szCs w:val="24"/>
          <w:lang w:val="en-US" w:eastAsia="es-ES"/>
        </w:rPr>
        <w:t>Evite TODOS los endulzantes artificiales.</w:t>
      </w:r>
    </w:p>
    <w:p w:rsidR="00CC4E89" w:rsidRPr="00CC4E89" w:rsidRDefault="00CC4E89" w:rsidP="00CC4E89">
      <w:pPr>
        <w:numPr>
          <w:ilvl w:val="0"/>
          <w:numId w:val="1"/>
        </w:numPr>
        <w:shd w:val="clear" w:color="auto" w:fill="FFFFFF"/>
        <w:spacing w:after="240" w:line="240" w:lineRule="auto"/>
        <w:ind w:left="840"/>
        <w:rPr>
          <w:rFonts w:ascii="Arial" w:eastAsia="Times New Roman" w:hAnsi="Arial" w:cs="Arial"/>
          <w:color w:val="000000"/>
          <w:sz w:val="24"/>
          <w:szCs w:val="24"/>
          <w:lang w:val="en-US" w:eastAsia="es-ES"/>
        </w:rPr>
      </w:pPr>
      <w:r w:rsidRPr="00CC4E89">
        <w:rPr>
          <w:rFonts w:ascii="Arial" w:eastAsia="Times New Roman" w:hAnsi="Arial" w:cs="Arial"/>
          <w:color w:val="000000"/>
          <w:sz w:val="24"/>
          <w:szCs w:val="24"/>
          <w:lang w:val="en-US" w:eastAsia="es-ES"/>
        </w:rPr>
        <w:t>Evite todo agave convencional y jarabe de maíz de alta fructosa</w:t>
      </w:r>
    </w:p>
    <w:p w:rsidR="00CC4E89" w:rsidRPr="00CC4E89" w:rsidRDefault="00CC4E89" w:rsidP="00CC4E89">
      <w:pPr>
        <w:numPr>
          <w:ilvl w:val="0"/>
          <w:numId w:val="1"/>
        </w:numPr>
        <w:shd w:val="clear" w:color="auto" w:fill="FFFFFF"/>
        <w:spacing w:after="0" w:line="240" w:lineRule="auto"/>
        <w:ind w:left="840"/>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 xml:space="preserve">Limite lo más que pueda todo tipo de azúcar. Usted puede comprar </w:t>
      </w:r>
      <w:hyperlink r:id="rId6" w:tgtFrame="_blank" w:history="1">
        <w:r w:rsidRPr="00CC4E89">
          <w:rPr>
            <w:rFonts w:ascii="Arial" w:eastAsia="Times New Roman" w:hAnsi="Arial" w:cs="Arial"/>
            <w:color w:val="0869BD"/>
            <w:sz w:val="24"/>
            <w:szCs w:val="24"/>
            <w:lang w:eastAsia="es-ES"/>
          </w:rPr>
          <w:t>glucosa pura (dextrosa)</w:t>
        </w:r>
      </w:hyperlink>
      <w:r w:rsidRPr="00CC4E89">
        <w:rPr>
          <w:rFonts w:ascii="Arial" w:eastAsia="Times New Roman" w:hAnsi="Arial" w:cs="Arial"/>
          <w:color w:val="000000"/>
          <w:sz w:val="24"/>
          <w:szCs w:val="24"/>
          <w:lang w:eastAsia="es-ES"/>
        </w:rPr>
        <w:t xml:space="preserve"> como endulzante por alrededor de $1 por libra, que no tiene ninguno de los efectos adversos de la fructosa si se usa con moderación. Su dulzura es solo 70 por ciento que la sacarosa, por lo que terminara usando un poco más por la misma cantidad de </w:t>
      </w:r>
      <w:r w:rsidRPr="00CC4E89">
        <w:rPr>
          <w:rFonts w:ascii="Arial" w:eastAsia="Times New Roman" w:hAnsi="Arial" w:cs="Arial"/>
          <w:color w:val="000000"/>
          <w:sz w:val="24"/>
          <w:szCs w:val="24"/>
          <w:lang w:eastAsia="es-ES"/>
        </w:rPr>
        <w:lastRenderedPageBreak/>
        <w:t>dulzura, haciéndola un poco más cara que la sacarosa - pero aun así vale la pena por su salud.</w:t>
      </w:r>
    </w:p>
    <w:p w:rsidR="00CC4E89" w:rsidRPr="00CC4E89" w:rsidRDefault="00CC4E89" w:rsidP="00CC4E89">
      <w:pPr>
        <w:numPr>
          <w:ilvl w:val="0"/>
          <w:numId w:val="1"/>
        </w:numPr>
        <w:shd w:val="clear" w:color="auto" w:fill="FFFFFF"/>
        <w:spacing w:after="240" w:line="240" w:lineRule="auto"/>
        <w:ind w:left="840"/>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 xml:space="preserve">Utilice agave de alta calidad que tenga fructosa en su forma conjugada. También puede utilizar la miel en bruto </w:t>
      </w:r>
      <w:r w:rsidRPr="00CC4E89">
        <w:rPr>
          <w:rFonts w:ascii="Arial" w:eastAsia="Times New Roman" w:hAnsi="Arial" w:cs="Arial"/>
          <w:i/>
          <w:iCs/>
          <w:color w:val="000000"/>
          <w:sz w:val="24"/>
          <w:szCs w:val="24"/>
          <w:lang w:eastAsia="es-ES"/>
        </w:rPr>
        <w:t>con moderación</w:t>
      </w:r>
      <w:r w:rsidRPr="00CC4E89">
        <w:rPr>
          <w:rFonts w:ascii="Arial" w:eastAsia="Times New Roman" w:hAnsi="Arial" w:cs="Arial"/>
          <w:color w:val="000000"/>
          <w:sz w:val="24"/>
          <w:szCs w:val="24"/>
          <w:lang w:eastAsia="es-ES"/>
        </w:rPr>
        <w:t xml:space="preserve"> o evitarla por completo, ya que es 70 por ciento fructosa, que es más alto que el JMAF. Sin embargo, la fructosa no se encuentra en su forma libre de manera que modere el daño. Pero cada cucharadita de miel tiene casi cuatro gramos de fructosa por lo que tendrá que añadir cuidadosamente el total de gramos de fructosa (incluyendo frutas) y mantener el nivel por debajo de 15 gramos por día.</w:t>
      </w:r>
    </w:p>
    <w:p w:rsidR="00CC4E89" w:rsidRPr="00CC4E89" w:rsidRDefault="00CC4E89" w:rsidP="00CC4E89">
      <w:pPr>
        <w:numPr>
          <w:ilvl w:val="0"/>
          <w:numId w:val="1"/>
        </w:numPr>
        <w:shd w:val="clear" w:color="auto" w:fill="FFFFFF"/>
        <w:spacing w:after="0" w:line="240" w:lineRule="auto"/>
        <w:ind w:left="840"/>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 xml:space="preserve">Use </w:t>
      </w:r>
      <w:hyperlink r:id="rId7" w:history="1">
        <w:r w:rsidRPr="00CC4E89">
          <w:rPr>
            <w:rFonts w:ascii="Arial" w:eastAsia="Times New Roman" w:hAnsi="Arial" w:cs="Arial"/>
            <w:color w:val="0869BD"/>
            <w:sz w:val="24"/>
            <w:szCs w:val="24"/>
            <w:lang w:eastAsia="es-ES"/>
          </w:rPr>
          <w:t xml:space="preserve">stevia </w:t>
        </w:r>
      </w:hyperlink>
      <w:r w:rsidRPr="00CC4E89">
        <w:rPr>
          <w:rFonts w:ascii="Arial" w:eastAsia="Times New Roman" w:hAnsi="Arial" w:cs="Arial"/>
          <w:i/>
          <w:iCs/>
          <w:color w:val="000000"/>
          <w:sz w:val="24"/>
          <w:szCs w:val="24"/>
          <w:lang w:eastAsia="es-ES"/>
        </w:rPr>
        <w:t xml:space="preserve">regular en </w:t>
      </w:r>
      <w:r w:rsidRPr="00CC4E89">
        <w:rPr>
          <w:rFonts w:ascii="Arial" w:eastAsia="Times New Roman" w:hAnsi="Arial" w:cs="Arial"/>
          <w:color w:val="000000"/>
          <w:sz w:val="24"/>
          <w:szCs w:val="24"/>
          <w:lang w:eastAsia="es-ES"/>
        </w:rPr>
        <w:t>moderación, pero evite los endulzantes a base de stevia como Truvia y PureVia porque han pasado por un mayor procesamiento.</w:t>
      </w:r>
    </w:p>
    <w:p w:rsidR="00CC4E89" w:rsidRPr="00CC4E89" w:rsidRDefault="00CC4E89" w:rsidP="00CC4E89">
      <w:pPr>
        <w:numPr>
          <w:ilvl w:val="0"/>
          <w:numId w:val="1"/>
        </w:numPr>
        <w:shd w:val="clear" w:color="auto" w:fill="FFFFFF"/>
        <w:spacing w:after="240" w:line="240" w:lineRule="auto"/>
        <w:ind w:left="840"/>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Lo Han es otro excelente endulzante a base de hierbas naturales.</w:t>
      </w:r>
    </w:p>
    <w:p w:rsidR="00CC4E89" w:rsidRPr="00CC4E89" w:rsidRDefault="00CC4E89" w:rsidP="00CC4E89">
      <w:pPr>
        <w:numPr>
          <w:ilvl w:val="0"/>
          <w:numId w:val="1"/>
        </w:numPr>
        <w:shd w:val="clear" w:color="auto" w:fill="FFFFFF"/>
        <w:spacing w:after="0" w:line="240" w:lineRule="auto"/>
        <w:ind w:left="840"/>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 xml:space="preserve">El </w:t>
      </w:r>
      <w:hyperlink r:id="rId8" w:history="1">
        <w:r w:rsidRPr="00CC4E89">
          <w:rPr>
            <w:rFonts w:ascii="Arial" w:eastAsia="Times New Roman" w:hAnsi="Arial" w:cs="Arial"/>
            <w:color w:val="0869BD"/>
            <w:sz w:val="24"/>
            <w:szCs w:val="24"/>
            <w:lang w:eastAsia="es-ES"/>
          </w:rPr>
          <w:t>ejercicio</w:t>
        </w:r>
      </w:hyperlink>
      <w:r w:rsidRPr="00CC4E89">
        <w:rPr>
          <w:rFonts w:ascii="Arial" w:eastAsia="Times New Roman" w:hAnsi="Arial" w:cs="Arial"/>
          <w:color w:val="000000"/>
          <w:sz w:val="24"/>
          <w:szCs w:val="24"/>
          <w:lang w:eastAsia="es-ES"/>
        </w:rPr>
        <w:t xml:space="preserve"> puede ser una herramienta muy poderosa para ayudar a controla la fructosa en un número de maneras. Si decide consumir fructosa es mejor hacerlo inmediatamente antes, durante o después del ejercicio intenso ya que su cuerpo tenderá a utilizarla directamente como combustible y no convertirlo en grasa. Además, el ejercicio aumenta la sensibilidad del receptor de insulina y ayudara a modular los efectos negativos de la fructosa. Por último, el ejercicio también ayuda a mitigar el apetito y controlar el deseo por lo dulce</w:t>
      </w:r>
    </w:p>
    <w:p w:rsidR="00CC4E89" w:rsidRPr="00CC4E89" w:rsidRDefault="00CC4E89" w:rsidP="00CC4E89">
      <w:pPr>
        <w:shd w:val="clear" w:color="auto" w:fill="FFFFFF"/>
        <w:spacing w:line="288" w:lineRule="auto"/>
        <w:rPr>
          <w:rFonts w:ascii="Arial" w:eastAsia="Times New Roman" w:hAnsi="Arial" w:cs="Arial"/>
          <w:color w:val="000000"/>
          <w:sz w:val="24"/>
          <w:szCs w:val="24"/>
          <w:lang w:eastAsia="es-ES"/>
        </w:rPr>
      </w:pPr>
      <w:r w:rsidRPr="00CC4E89">
        <w:rPr>
          <w:rFonts w:ascii="Arial" w:eastAsia="Times New Roman" w:hAnsi="Arial" w:cs="Arial"/>
          <w:color w:val="000000"/>
          <w:sz w:val="24"/>
          <w:szCs w:val="24"/>
          <w:lang w:eastAsia="es-ES"/>
        </w:rPr>
        <w:t>Si usted tiene problemas de insulina, presión arterial alta, colesterol alto, diabetes, o sobrepeso, le sugiero que evite todos los endulzantes, incluyendo la stevia, ya que cualquier endulzante puede disminuir su sensibilidad a la insulina.</w:t>
      </w:r>
    </w:p>
    <w:p w:rsidR="0081461A" w:rsidRDefault="0081461A">
      <w:bookmarkStart w:id="0" w:name="_GoBack"/>
      <w:bookmarkEnd w:id="0"/>
    </w:p>
    <w:sectPr w:rsidR="0081461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A0C10"/>
    <w:multiLevelType w:val="multilevel"/>
    <w:tmpl w:val="DA78E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E89"/>
    <w:rsid w:val="0081461A"/>
    <w:rsid w:val="00CC4E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C4E89"/>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C4E89"/>
    <w:rPr>
      <w:i/>
      <w:iCs/>
    </w:rPr>
  </w:style>
  <w:style w:type="character" w:styleId="Textoennegrita">
    <w:name w:val="Strong"/>
    <w:basedOn w:val="Fuentedeprrafopredeter"/>
    <w:uiPriority w:val="22"/>
    <w:qFormat/>
    <w:rsid w:val="00CC4E8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C4E89"/>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C4E89"/>
    <w:rPr>
      <w:i/>
      <w:iCs/>
    </w:rPr>
  </w:style>
  <w:style w:type="character" w:styleId="Textoennegrita">
    <w:name w:val="Strong"/>
    <w:basedOn w:val="Fuentedeprrafopredeter"/>
    <w:uiPriority w:val="22"/>
    <w:qFormat/>
    <w:rsid w:val="00CC4E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824421">
      <w:bodyDiv w:val="1"/>
      <w:marLeft w:val="0"/>
      <w:marRight w:val="0"/>
      <w:marTop w:val="0"/>
      <w:marBottom w:val="0"/>
      <w:divBdr>
        <w:top w:val="none" w:sz="0" w:space="0" w:color="auto"/>
        <w:left w:val="none" w:sz="0" w:space="0" w:color="auto"/>
        <w:bottom w:val="none" w:sz="0" w:space="0" w:color="auto"/>
        <w:right w:val="none" w:sz="0" w:space="0" w:color="auto"/>
      </w:divBdr>
      <w:divsChild>
        <w:div w:id="833107829">
          <w:marLeft w:val="0"/>
          <w:marRight w:val="0"/>
          <w:marTop w:val="0"/>
          <w:marBottom w:val="0"/>
          <w:divBdr>
            <w:top w:val="none" w:sz="0" w:space="0" w:color="auto"/>
            <w:left w:val="none" w:sz="0" w:space="0" w:color="auto"/>
            <w:bottom w:val="none" w:sz="0" w:space="0" w:color="auto"/>
            <w:right w:val="none" w:sz="0" w:space="0" w:color="auto"/>
          </w:divBdr>
          <w:divsChild>
            <w:div w:id="708189517">
              <w:marLeft w:val="0"/>
              <w:marRight w:val="0"/>
              <w:marTop w:val="0"/>
              <w:marBottom w:val="0"/>
              <w:divBdr>
                <w:top w:val="none" w:sz="0" w:space="0" w:color="auto"/>
                <w:left w:val="none" w:sz="0" w:space="0" w:color="auto"/>
                <w:bottom w:val="none" w:sz="0" w:space="0" w:color="auto"/>
                <w:right w:val="none" w:sz="0" w:space="0" w:color="auto"/>
              </w:divBdr>
              <w:divsChild>
                <w:div w:id="822697404">
                  <w:marLeft w:val="0"/>
                  <w:marRight w:val="0"/>
                  <w:marTop w:val="0"/>
                  <w:marBottom w:val="0"/>
                  <w:divBdr>
                    <w:top w:val="none" w:sz="0" w:space="0" w:color="auto"/>
                    <w:left w:val="none" w:sz="0" w:space="0" w:color="auto"/>
                    <w:bottom w:val="none" w:sz="0" w:space="0" w:color="auto"/>
                    <w:right w:val="none" w:sz="0" w:space="0" w:color="auto"/>
                  </w:divBdr>
                  <w:divsChild>
                    <w:div w:id="466316343">
                      <w:marLeft w:val="0"/>
                      <w:marRight w:val="0"/>
                      <w:marTop w:val="150"/>
                      <w:marBottom w:val="300"/>
                      <w:divBdr>
                        <w:top w:val="single" w:sz="6" w:space="0" w:color="D8D8D8"/>
                        <w:left w:val="single" w:sz="6" w:space="0" w:color="D8D8D8"/>
                        <w:bottom w:val="single" w:sz="6" w:space="0" w:color="D8D8D8"/>
                        <w:right w:val="single" w:sz="6" w:space="0" w:color="D8D8D8"/>
                      </w:divBdr>
                      <w:divsChild>
                        <w:div w:id="1614289459">
                          <w:marLeft w:val="270"/>
                          <w:marRight w:val="270"/>
                          <w:marTop w:val="270"/>
                          <w:marBottom w:val="270"/>
                          <w:divBdr>
                            <w:top w:val="none" w:sz="0" w:space="0" w:color="auto"/>
                            <w:left w:val="none" w:sz="0" w:space="0" w:color="auto"/>
                            <w:bottom w:val="none" w:sz="0" w:space="0" w:color="auto"/>
                            <w:right w:val="none" w:sz="0" w:space="0" w:color="auto"/>
                          </w:divBdr>
                          <w:divsChild>
                            <w:div w:id="283197243">
                              <w:marLeft w:val="0"/>
                              <w:marRight w:val="0"/>
                              <w:marTop w:val="0"/>
                              <w:marBottom w:val="0"/>
                              <w:divBdr>
                                <w:top w:val="none" w:sz="0" w:space="0" w:color="auto"/>
                                <w:left w:val="none" w:sz="0" w:space="0" w:color="auto"/>
                                <w:bottom w:val="none" w:sz="0" w:space="0" w:color="auto"/>
                                <w:right w:val="none" w:sz="0" w:space="0" w:color="auto"/>
                              </w:divBdr>
                              <w:divsChild>
                                <w:div w:id="41296472">
                                  <w:marLeft w:val="0"/>
                                  <w:marRight w:val="0"/>
                                  <w:marTop w:val="0"/>
                                  <w:marBottom w:val="600"/>
                                  <w:divBdr>
                                    <w:top w:val="none" w:sz="0" w:space="0" w:color="auto"/>
                                    <w:left w:val="none" w:sz="0" w:space="0" w:color="auto"/>
                                    <w:bottom w:val="none" w:sz="0" w:space="0" w:color="auto"/>
                                    <w:right w:val="none" w:sz="0" w:space="0" w:color="auto"/>
                                  </w:divBdr>
                                  <w:divsChild>
                                    <w:div w:id="1131485609">
                                      <w:blockQuote w:val="1"/>
                                      <w:marLeft w:val="0"/>
                                      <w:marRight w:val="0"/>
                                      <w:marTop w:val="0"/>
                                      <w:marBottom w:val="0"/>
                                      <w:divBdr>
                                        <w:top w:val="none" w:sz="0" w:space="0" w:color="auto"/>
                                        <w:left w:val="none" w:sz="0" w:space="0" w:color="auto"/>
                                        <w:bottom w:val="none" w:sz="0" w:space="0" w:color="auto"/>
                                        <w:right w:val="none" w:sz="0" w:space="0" w:color="auto"/>
                                      </w:divBdr>
                                    </w:div>
                                    <w:div w:id="99545590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jercicios.mercola.com/" TargetMode="External"/><Relationship Id="rId3" Type="http://schemas.microsoft.com/office/2007/relationships/stylesWithEffects" Target="stylesWithEffects.xml"/><Relationship Id="rId7" Type="http://schemas.openxmlformats.org/officeDocument/2006/relationships/hyperlink" Target="http://espanol.mercola.com/boletin-de-salud/stevia-el-santo-grial-de-los-endulzante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Now-Foods-Dextrose-2-lbs/dp/B000T3HX3K/ref=sr_1_1?ie=UTF8&amp;s=hpc&amp;qid=1267272353&amp;sr=8-1"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638</Words>
  <Characters>3510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2014-08-19T19:46:00Z</dcterms:created>
  <dcterms:modified xsi:type="dcterms:W3CDTF">2014-08-19T19:47:00Z</dcterms:modified>
</cp:coreProperties>
</file>